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B49F74">
      <w:pPr>
        <w:keepNext w:val="0"/>
        <w:keepLines w:val="0"/>
        <w:pageBreakBefore w:val="0"/>
        <w:widowControl w:val="0"/>
        <w:kinsoku/>
        <w:wordWrap/>
        <w:overflowPunct/>
        <w:topLinePunct w:val="0"/>
        <w:autoSpaceDE/>
        <w:autoSpaceDN/>
        <w:bidi w:val="0"/>
        <w:adjustRightInd/>
        <w:snapToGrid/>
        <w:spacing w:line="520" w:lineRule="exact"/>
        <w:ind w:left="0" w:leftChars="0" w:right="0" w:firstLine="0" w:firstLineChars="0"/>
        <w:jc w:val="center"/>
        <w:textAlignment w:val="auto"/>
        <w:outlineLvl w:val="9"/>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val="en-US" w:eastAsia="zh-CN"/>
        </w:rPr>
        <w:t>阳江市房屋市政工程安全生产标准化工地评价</w:t>
      </w:r>
    </w:p>
    <w:p w14:paraId="44DF9794">
      <w:pPr>
        <w:keepNext w:val="0"/>
        <w:keepLines w:val="0"/>
        <w:pageBreakBefore w:val="0"/>
        <w:widowControl w:val="0"/>
        <w:kinsoku/>
        <w:wordWrap/>
        <w:overflowPunct/>
        <w:topLinePunct w:val="0"/>
        <w:autoSpaceDE/>
        <w:autoSpaceDN/>
        <w:bidi w:val="0"/>
        <w:adjustRightInd/>
        <w:snapToGrid/>
        <w:spacing w:line="520" w:lineRule="exact"/>
        <w:ind w:left="0" w:leftChars="0" w:right="0" w:firstLine="0" w:firstLineChars="0"/>
        <w:jc w:val="center"/>
        <w:textAlignment w:val="auto"/>
        <w:outlineLvl w:val="9"/>
        <w:rPr>
          <w:rFonts w:hint="eastAsia" w:ascii="仿宋_GB2312" w:hAnsi="仿宋_GB2312" w:eastAsia="仿宋_GB2312" w:cs="仿宋_GB2312"/>
          <w:b/>
          <w:bCs/>
          <w:color w:val="auto"/>
          <w:sz w:val="36"/>
          <w:szCs w:val="36"/>
          <w:lang w:val="en-US" w:eastAsia="zh-CN"/>
        </w:rPr>
      </w:pPr>
      <w:r>
        <w:rPr>
          <w:rFonts w:hint="eastAsia" w:ascii="仿宋_GB2312" w:hAnsi="仿宋_GB2312" w:eastAsia="仿宋_GB2312" w:cs="仿宋_GB2312"/>
          <w:b/>
          <w:bCs/>
          <w:color w:val="auto"/>
          <w:sz w:val="36"/>
          <w:szCs w:val="36"/>
          <w:lang w:val="en-US" w:eastAsia="zh-CN"/>
        </w:rPr>
        <w:t>申报单位承诺书</w:t>
      </w:r>
    </w:p>
    <w:p w14:paraId="62AAF8A7">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仿宋_GB2312" w:hAnsi="仿宋_GB2312" w:eastAsia="仿宋_GB2312" w:cs="仿宋_GB2312"/>
          <w:b/>
          <w:bCs/>
          <w:color w:val="auto"/>
          <w:sz w:val="28"/>
          <w:szCs w:val="28"/>
          <w:lang w:val="en-US" w:eastAsia="zh-CN"/>
        </w:rPr>
      </w:pPr>
    </w:p>
    <w:p w14:paraId="25D0F55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阳江市建筑业协会：</w:t>
      </w:r>
    </w:p>
    <w:p w14:paraId="2F72A277">
      <w:pPr>
        <w:keepNext w:val="0"/>
        <w:keepLines w:val="0"/>
        <w:pageBreakBefore w:val="0"/>
        <w:widowControl w:val="0"/>
        <w:kinsoku/>
        <w:wordWrap/>
        <w:overflowPunct/>
        <w:topLinePunct w:val="0"/>
        <w:autoSpaceDE/>
        <w:autoSpaceDN/>
        <w:bidi w:val="0"/>
        <w:adjustRightInd/>
        <w:snapToGrid/>
        <w:spacing w:line="360" w:lineRule="auto"/>
        <w:ind w:firstLine="64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我单位承建的</w:t>
      </w:r>
      <w:r>
        <w:rPr>
          <w:rFonts w:hint="eastAsia" w:ascii="仿宋_GB2312" w:hAnsi="仿宋_GB2312" w:eastAsia="仿宋_GB2312" w:cs="仿宋_GB2312"/>
          <w:b w:val="0"/>
          <w:bCs w:val="0"/>
          <w:color w:val="auto"/>
          <w:sz w:val="28"/>
          <w:szCs w:val="28"/>
          <w:u w:val="single"/>
          <w:lang w:val="en-US" w:eastAsia="zh-CN"/>
        </w:rPr>
        <w:t xml:space="preserve">  （项目名称）  </w:t>
      </w:r>
      <w:r>
        <w:rPr>
          <w:rFonts w:hint="eastAsia" w:ascii="仿宋_GB2312" w:hAnsi="仿宋_GB2312" w:eastAsia="仿宋_GB2312" w:cs="仿宋_GB2312"/>
          <w:b w:val="0"/>
          <w:bCs w:val="0"/>
          <w:color w:val="auto"/>
          <w:sz w:val="28"/>
          <w:szCs w:val="28"/>
          <w:lang w:val="en-US" w:eastAsia="zh-CN"/>
        </w:rPr>
        <w:t>于</w:t>
      </w:r>
      <w:r>
        <w:rPr>
          <w:rFonts w:hint="eastAsia" w:ascii="仿宋_GB2312" w:hAnsi="仿宋_GB2312" w:eastAsia="仿宋_GB2312" w:cs="仿宋_GB2312"/>
          <w:b w:val="0"/>
          <w:bCs w:val="0"/>
          <w:color w:val="auto"/>
          <w:sz w:val="28"/>
          <w:szCs w:val="28"/>
          <w:u w:val="single"/>
          <w:lang w:val="en-US" w:eastAsia="zh-CN"/>
        </w:rPr>
        <w:t xml:space="preserve">   </w:t>
      </w:r>
      <w:r>
        <w:rPr>
          <w:rFonts w:hint="eastAsia" w:ascii="仿宋_GB2312" w:hAnsi="仿宋_GB2312" w:eastAsia="仿宋_GB2312" w:cs="仿宋_GB2312"/>
          <w:b w:val="0"/>
          <w:bCs w:val="0"/>
          <w:color w:val="auto"/>
          <w:sz w:val="28"/>
          <w:szCs w:val="28"/>
          <w:u w:val="none"/>
          <w:lang w:val="en-US" w:eastAsia="zh-CN"/>
        </w:rPr>
        <w:t>年</w:t>
      </w:r>
      <w:r>
        <w:rPr>
          <w:rFonts w:hint="eastAsia" w:ascii="仿宋_GB2312" w:hAnsi="仿宋_GB2312" w:eastAsia="仿宋_GB2312" w:cs="仿宋_GB2312"/>
          <w:b w:val="0"/>
          <w:bCs w:val="0"/>
          <w:color w:val="auto"/>
          <w:sz w:val="28"/>
          <w:szCs w:val="28"/>
          <w:u w:val="single"/>
          <w:lang w:val="en-US" w:eastAsia="zh-CN"/>
        </w:rPr>
        <w:t xml:space="preserve">  </w:t>
      </w:r>
      <w:r>
        <w:rPr>
          <w:rFonts w:hint="eastAsia" w:ascii="仿宋_GB2312" w:hAnsi="仿宋_GB2312" w:eastAsia="仿宋_GB2312" w:cs="仿宋_GB2312"/>
          <w:b w:val="0"/>
          <w:bCs w:val="0"/>
          <w:color w:val="auto"/>
          <w:sz w:val="28"/>
          <w:szCs w:val="28"/>
          <w:u w:val="none"/>
          <w:lang w:val="en-US" w:eastAsia="zh-CN"/>
        </w:rPr>
        <w:t>月</w:t>
      </w:r>
      <w:r>
        <w:rPr>
          <w:rFonts w:hint="eastAsia" w:ascii="仿宋_GB2312" w:hAnsi="仿宋_GB2312" w:eastAsia="仿宋_GB2312" w:cs="仿宋_GB2312"/>
          <w:b w:val="0"/>
          <w:bCs w:val="0"/>
          <w:color w:val="auto"/>
          <w:sz w:val="28"/>
          <w:szCs w:val="28"/>
          <w:lang w:val="en-US" w:eastAsia="zh-CN"/>
        </w:rPr>
        <w:t>申报</w:t>
      </w:r>
      <w:r>
        <w:rPr>
          <w:rFonts w:hint="eastAsia" w:ascii="仿宋_GB2312" w:hAnsi="仿宋_GB2312" w:eastAsia="仿宋_GB2312" w:cs="仿宋_GB2312"/>
          <w:b w:val="0"/>
          <w:bCs w:val="0"/>
          <w:color w:val="auto"/>
          <w:sz w:val="28"/>
          <w:szCs w:val="28"/>
          <w:u w:val="none"/>
          <w:lang w:val="en-US" w:eastAsia="zh-CN"/>
        </w:rPr>
        <w:t>阳江市房屋市政工程安全生产标准化工地评价</w:t>
      </w:r>
      <w:r>
        <w:rPr>
          <w:rFonts w:hint="eastAsia" w:ascii="仿宋_GB2312" w:hAnsi="仿宋_GB2312" w:eastAsia="仿宋_GB2312" w:cs="仿宋_GB2312"/>
          <w:b w:val="0"/>
          <w:bCs w:val="0"/>
          <w:color w:val="auto"/>
          <w:sz w:val="28"/>
          <w:szCs w:val="28"/>
          <w:lang w:val="en-US" w:eastAsia="zh-CN"/>
        </w:rPr>
        <w:t>，郑重承诺如下：</w:t>
      </w:r>
    </w:p>
    <w:p w14:paraId="04531F5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64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我单位提交的申报资料真实、有效，符合《阳江市房屋市政工程安全生产标准化工地评价办法（试行）》的要求，不存在弄虚作假现象。</w:t>
      </w:r>
    </w:p>
    <w:p w14:paraId="4721916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64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申报项目不存在下列情况：</w:t>
      </w:r>
    </w:p>
    <w:p w14:paraId="383CA1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10"/>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sz w:val="28"/>
          <w:szCs w:val="28"/>
          <w:shd w:val="clear" w:fill="FFFFFF"/>
        </w:rPr>
        <w:t>（一）发生一般及以上安全生产事故的（非责任事故除外）的项目；</w:t>
      </w:r>
    </w:p>
    <w:p w14:paraId="0DF8162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30"/>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sz w:val="28"/>
          <w:szCs w:val="28"/>
          <w:shd w:val="clear" w:fill="FFFFFF"/>
        </w:rPr>
        <w:t>（二）采用国家、省明令禁止使用的施工机具、材料和施工工艺的项目；</w:t>
      </w:r>
    </w:p>
    <w:p w14:paraId="37F85CB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30"/>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sz w:val="28"/>
          <w:szCs w:val="28"/>
          <w:shd w:val="clear" w:fill="FFFFFF"/>
        </w:rPr>
        <w:t>（</w:t>
      </w:r>
      <w:r>
        <w:rPr>
          <w:rFonts w:hint="eastAsia" w:ascii="仿宋_GB2312" w:hAnsi="仿宋_GB2312" w:eastAsia="仿宋_GB2312" w:cs="仿宋_GB2312"/>
          <w:i w:val="0"/>
          <w:iCs w:val="0"/>
          <w:caps w:val="0"/>
          <w:color w:val="auto"/>
          <w:spacing w:val="0"/>
          <w:sz w:val="28"/>
          <w:szCs w:val="28"/>
          <w:shd w:val="clear" w:fill="FFFFFF"/>
          <w:lang w:eastAsia="zh-CN"/>
        </w:rPr>
        <w:t>三</w:t>
      </w:r>
      <w:r>
        <w:rPr>
          <w:rFonts w:hint="eastAsia" w:ascii="仿宋_GB2312" w:hAnsi="仿宋_GB2312" w:eastAsia="仿宋_GB2312" w:cs="仿宋_GB2312"/>
          <w:i w:val="0"/>
          <w:iCs w:val="0"/>
          <w:caps w:val="0"/>
          <w:color w:val="auto"/>
          <w:spacing w:val="0"/>
          <w:sz w:val="28"/>
          <w:szCs w:val="28"/>
          <w:shd w:val="clear" w:fill="FFFFFF"/>
        </w:rPr>
        <w:t>）本年度因存在违法违规行为，被</w:t>
      </w:r>
      <w:r>
        <w:rPr>
          <w:rFonts w:hint="eastAsia" w:ascii="仿宋_GB2312" w:hAnsi="仿宋_GB2312" w:eastAsia="仿宋_GB2312" w:cs="仿宋_GB2312"/>
          <w:i w:val="0"/>
          <w:iCs w:val="0"/>
          <w:caps w:val="0"/>
          <w:color w:val="auto"/>
          <w:spacing w:val="0"/>
          <w:sz w:val="28"/>
          <w:szCs w:val="28"/>
          <w:shd w:val="clear" w:fill="FFFFFF"/>
          <w:lang w:eastAsia="zh-CN"/>
        </w:rPr>
        <w:t>县级以上</w:t>
      </w:r>
      <w:r>
        <w:rPr>
          <w:rFonts w:hint="eastAsia" w:ascii="仿宋_GB2312" w:hAnsi="仿宋_GB2312" w:eastAsia="仿宋_GB2312" w:cs="仿宋_GB2312"/>
          <w:i w:val="0"/>
          <w:iCs w:val="0"/>
          <w:caps w:val="0"/>
          <w:color w:val="auto"/>
          <w:spacing w:val="0"/>
          <w:sz w:val="28"/>
          <w:szCs w:val="28"/>
          <w:shd w:val="clear" w:fill="FFFFFF"/>
        </w:rPr>
        <w:t>住房城乡建设行政主管部门做出行政处罚的项目；</w:t>
      </w:r>
    </w:p>
    <w:p w14:paraId="2282D22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30"/>
        <w:rPr>
          <w:rFonts w:hint="eastAsia" w:ascii="仿宋_GB2312" w:hAnsi="仿宋_GB2312" w:eastAsia="仿宋_GB2312" w:cs="仿宋_GB2312"/>
          <w:i w:val="0"/>
          <w:iCs w:val="0"/>
          <w:caps w:val="0"/>
          <w:color w:val="auto"/>
          <w:spacing w:val="0"/>
          <w:sz w:val="28"/>
          <w:szCs w:val="28"/>
          <w:lang w:eastAsia="zh-CN"/>
        </w:rPr>
      </w:pPr>
      <w:r>
        <w:rPr>
          <w:rFonts w:hint="eastAsia" w:ascii="仿宋_GB2312" w:hAnsi="仿宋_GB2312" w:eastAsia="仿宋_GB2312" w:cs="仿宋_GB2312"/>
          <w:i w:val="0"/>
          <w:iCs w:val="0"/>
          <w:caps w:val="0"/>
          <w:color w:val="auto"/>
          <w:spacing w:val="0"/>
          <w:sz w:val="28"/>
          <w:szCs w:val="28"/>
          <w:shd w:val="clear" w:fill="FFFFFF"/>
        </w:rPr>
        <w:t>（</w:t>
      </w:r>
      <w:r>
        <w:rPr>
          <w:rFonts w:hint="eastAsia" w:ascii="仿宋_GB2312" w:hAnsi="仿宋_GB2312" w:eastAsia="仿宋_GB2312" w:cs="仿宋_GB2312"/>
          <w:i w:val="0"/>
          <w:iCs w:val="0"/>
          <w:caps w:val="0"/>
          <w:color w:val="auto"/>
          <w:spacing w:val="0"/>
          <w:sz w:val="28"/>
          <w:szCs w:val="28"/>
          <w:shd w:val="clear" w:fill="FFFFFF"/>
          <w:lang w:eastAsia="zh-CN"/>
        </w:rPr>
        <w:t>四</w:t>
      </w:r>
      <w:r>
        <w:rPr>
          <w:rFonts w:hint="eastAsia" w:ascii="仿宋_GB2312" w:hAnsi="仿宋_GB2312" w:eastAsia="仿宋_GB2312" w:cs="仿宋_GB2312"/>
          <w:i w:val="0"/>
          <w:iCs w:val="0"/>
          <w:caps w:val="0"/>
          <w:color w:val="auto"/>
          <w:spacing w:val="0"/>
          <w:sz w:val="28"/>
          <w:szCs w:val="28"/>
          <w:shd w:val="clear" w:fill="FFFFFF"/>
        </w:rPr>
        <w:t>）危险性较大的分部分项工程，未执行住房和城乡建设部《危险性较大的分部分项工程安全管理规定》和《广东省住房和城乡建设厅关于印发&lt;房屋市政工程危险性较大的分部分项工程安全管理实施细则&gt;的通知》的</w:t>
      </w:r>
      <w:r>
        <w:rPr>
          <w:rFonts w:hint="eastAsia" w:ascii="仿宋_GB2312" w:hAnsi="仿宋_GB2312" w:eastAsia="仿宋_GB2312" w:cs="仿宋_GB2312"/>
          <w:i w:val="0"/>
          <w:iCs w:val="0"/>
          <w:caps w:val="0"/>
          <w:color w:val="auto"/>
          <w:spacing w:val="0"/>
          <w:sz w:val="28"/>
          <w:szCs w:val="28"/>
          <w:shd w:val="clear" w:fill="FFFFFF"/>
          <w:lang w:eastAsia="zh-CN"/>
        </w:rPr>
        <w:t>项目；</w:t>
      </w:r>
    </w:p>
    <w:p w14:paraId="1BC38AE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30"/>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sz w:val="28"/>
          <w:szCs w:val="28"/>
          <w:shd w:val="clear" w:fill="FFFFFF"/>
        </w:rPr>
        <w:t>（</w:t>
      </w:r>
      <w:r>
        <w:rPr>
          <w:rFonts w:hint="eastAsia" w:ascii="仿宋_GB2312" w:hAnsi="仿宋_GB2312" w:eastAsia="仿宋_GB2312" w:cs="仿宋_GB2312"/>
          <w:i w:val="0"/>
          <w:iCs w:val="0"/>
          <w:caps w:val="0"/>
          <w:color w:val="auto"/>
          <w:spacing w:val="0"/>
          <w:sz w:val="28"/>
          <w:szCs w:val="28"/>
          <w:shd w:val="clear" w:fill="FFFFFF"/>
          <w:lang w:eastAsia="zh-CN"/>
        </w:rPr>
        <w:t>五</w:t>
      </w:r>
      <w:r>
        <w:rPr>
          <w:rFonts w:hint="eastAsia" w:ascii="仿宋_GB2312" w:hAnsi="仿宋_GB2312" w:eastAsia="仿宋_GB2312" w:cs="仿宋_GB2312"/>
          <w:i w:val="0"/>
          <w:iCs w:val="0"/>
          <w:caps w:val="0"/>
          <w:color w:val="auto"/>
          <w:spacing w:val="0"/>
          <w:sz w:val="28"/>
          <w:szCs w:val="28"/>
          <w:shd w:val="clear" w:fill="FFFFFF"/>
        </w:rPr>
        <w:t>）建筑起重机械安全管理不符合《建筑起重机械安全监督管理规定》的项目；</w:t>
      </w:r>
    </w:p>
    <w:p w14:paraId="1F1F801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30"/>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sz w:val="28"/>
          <w:szCs w:val="28"/>
          <w:shd w:val="clear" w:fill="FFFFFF"/>
        </w:rPr>
        <w:t>（</w:t>
      </w:r>
      <w:r>
        <w:rPr>
          <w:rFonts w:hint="eastAsia" w:ascii="仿宋_GB2312" w:hAnsi="仿宋_GB2312" w:eastAsia="仿宋_GB2312" w:cs="仿宋_GB2312"/>
          <w:i w:val="0"/>
          <w:iCs w:val="0"/>
          <w:caps w:val="0"/>
          <w:color w:val="auto"/>
          <w:spacing w:val="0"/>
          <w:sz w:val="28"/>
          <w:szCs w:val="28"/>
          <w:shd w:val="clear" w:fill="FFFFFF"/>
          <w:lang w:eastAsia="zh-CN"/>
        </w:rPr>
        <w:t>六</w:t>
      </w:r>
      <w:r>
        <w:rPr>
          <w:rFonts w:hint="eastAsia" w:ascii="仿宋_GB2312" w:hAnsi="仿宋_GB2312" w:eastAsia="仿宋_GB2312" w:cs="仿宋_GB2312"/>
          <w:i w:val="0"/>
          <w:iCs w:val="0"/>
          <w:caps w:val="0"/>
          <w:color w:val="auto"/>
          <w:spacing w:val="0"/>
          <w:sz w:val="28"/>
          <w:szCs w:val="28"/>
          <w:shd w:val="clear" w:fill="FFFFFF"/>
        </w:rPr>
        <w:t>）未执行《广东省建设厅建筑工程安全防护、文明施工措施费用管理办法》的项目；</w:t>
      </w:r>
    </w:p>
    <w:p w14:paraId="483CFF8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30"/>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sz w:val="28"/>
          <w:szCs w:val="28"/>
          <w:shd w:val="clear" w:fill="FFFFFF"/>
        </w:rPr>
        <w:t>（</w:t>
      </w:r>
      <w:r>
        <w:rPr>
          <w:rFonts w:hint="eastAsia" w:ascii="仿宋_GB2312" w:hAnsi="仿宋_GB2312" w:eastAsia="仿宋_GB2312" w:cs="仿宋_GB2312"/>
          <w:i w:val="0"/>
          <w:iCs w:val="0"/>
          <w:caps w:val="0"/>
          <w:color w:val="auto"/>
          <w:spacing w:val="0"/>
          <w:sz w:val="28"/>
          <w:szCs w:val="28"/>
          <w:shd w:val="clear" w:fill="FFFFFF"/>
          <w:lang w:eastAsia="zh-CN"/>
        </w:rPr>
        <w:t>七</w:t>
      </w:r>
      <w:r>
        <w:rPr>
          <w:rFonts w:hint="eastAsia" w:ascii="仿宋_GB2312" w:hAnsi="仿宋_GB2312" w:eastAsia="仿宋_GB2312" w:cs="仿宋_GB2312"/>
          <w:i w:val="0"/>
          <w:iCs w:val="0"/>
          <w:caps w:val="0"/>
          <w:color w:val="auto"/>
          <w:spacing w:val="0"/>
          <w:sz w:val="28"/>
          <w:szCs w:val="28"/>
          <w:shd w:val="clear" w:fill="FFFFFF"/>
        </w:rPr>
        <w:t>）建筑施工特种作业人员未取得省级住房城乡建设行政主管部门或省建筑安全协会颁发的特种作业人员操作资格证书的项目；</w:t>
      </w:r>
    </w:p>
    <w:p w14:paraId="1279EF8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30"/>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sz w:val="28"/>
          <w:szCs w:val="28"/>
          <w:shd w:val="clear" w:fill="FFFFFF"/>
        </w:rPr>
        <w:t>（</w:t>
      </w:r>
      <w:r>
        <w:rPr>
          <w:rFonts w:hint="eastAsia" w:ascii="仿宋_GB2312" w:hAnsi="仿宋_GB2312" w:eastAsia="仿宋_GB2312" w:cs="仿宋_GB2312"/>
          <w:i w:val="0"/>
          <w:iCs w:val="0"/>
          <w:caps w:val="0"/>
          <w:color w:val="auto"/>
          <w:spacing w:val="0"/>
          <w:sz w:val="28"/>
          <w:szCs w:val="28"/>
          <w:shd w:val="clear" w:fill="FFFFFF"/>
          <w:lang w:eastAsia="zh-CN"/>
        </w:rPr>
        <w:t>八</w:t>
      </w:r>
      <w:r>
        <w:rPr>
          <w:rFonts w:hint="eastAsia" w:ascii="仿宋_GB2312" w:hAnsi="仿宋_GB2312" w:eastAsia="仿宋_GB2312" w:cs="仿宋_GB2312"/>
          <w:i w:val="0"/>
          <w:iCs w:val="0"/>
          <w:caps w:val="0"/>
          <w:color w:val="auto"/>
          <w:spacing w:val="0"/>
          <w:sz w:val="28"/>
          <w:szCs w:val="28"/>
          <w:shd w:val="clear" w:fill="FFFFFF"/>
        </w:rPr>
        <w:t>）施工现场未实行用工实名制管理的项目；</w:t>
      </w:r>
    </w:p>
    <w:p w14:paraId="478E92B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30"/>
        <w:rPr>
          <w:rFonts w:hint="eastAsia" w:ascii="仿宋_GB2312" w:hAnsi="仿宋_GB2312" w:eastAsia="仿宋_GB2312" w:cs="仿宋_GB2312"/>
          <w:i w:val="0"/>
          <w:iCs w:val="0"/>
          <w:caps w:val="0"/>
          <w:color w:val="auto"/>
          <w:spacing w:val="0"/>
          <w:sz w:val="28"/>
          <w:szCs w:val="28"/>
        </w:rPr>
      </w:pPr>
      <w:r>
        <w:rPr>
          <w:rFonts w:hint="eastAsia" w:ascii="仿宋_GB2312" w:hAnsi="仿宋_GB2312" w:eastAsia="仿宋_GB2312" w:cs="仿宋_GB2312"/>
          <w:i w:val="0"/>
          <w:iCs w:val="0"/>
          <w:caps w:val="0"/>
          <w:color w:val="auto"/>
          <w:spacing w:val="0"/>
          <w:sz w:val="28"/>
          <w:szCs w:val="28"/>
          <w:shd w:val="clear" w:fill="FFFFFF"/>
        </w:rPr>
        <w:t>（</w:t>
      </w:r>
      <w:r>
        <w:rPr>
          <w:rFonts w:hint="eastAsia" w:ascii="仿宋_GB2312" w:hAnsi="仿宋_GB2312" w:eastAsia="仿宋_GB2312" w:cs="仿宋_GB2312"/>
          <w:i w:val="0"/>
          <w:iCs w:val="0"/>
          <w:caps w:val="0"/>
          <w:color w:val="auto"/>
          <w:spacing w:val="0"/>
          <w:sz w:val="28"/>
          <w:szCs w:val="28"/>
          <w:shd w:val="clear" w:fill="FFFFFF"/>
          <w:lang w:eastAsia="zh-CN"/>
        </w:rPr>
        <w:t>九</w:t>
      </w:r>
      <w:r>
        <w:rPr>
          <w:rFonts w:hint="eastAsia" w:ascii="仿宋_GB2312" w:hAnsi="仿宋_GB2312" w:eastAsia="仿宋_GB2312" w:cs="仿宋_GB2312"/>
          <w:i w:val="0"/>
          <w:iCs w:val="0"/>
          <w:caps w:val="0"/>
          <w:color w:val="auto"/>
          <w:spacing w:val="0"/>
          <w:sz w:val="28"/>
          <w:szCs w:val="28"/>
          <w:shd w:val="clear" w:fill="FFFFFF"/>
        </w:rPr>
        <w:t>）发生造成不良社会影响的群体性事件的项目。</w:t>
      </w:r>
    </w:p>
    <w:p w14:paraId="172AF026">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如有违背上述承诺的行为，我单位愿承担相应责任，按规定接受取消参评资格或荣誉称号等处罚。</w:t>
      </w:r>
    </w:p>
    <w:p w14:paraId="127BC66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b w:val="0"/>
          <w:bCs w:val="0"/>
          <w:color w:val="auto"/>
          <w:sz w:val="28"/>
          <w:szCs w:val="28"/>
          <w:lang w:val="en-US" w:eastAsia="zh-CN"/>
        </w:rPr>
      </w:pPr>
    </w:p>
    <w:p w14:paraId="3BBBE2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jc w:val="both"/>
        <w:textAlignment w:val="auto"/>
        <w:rPr>
          <w:rFonts w:hint="eastAsia" w:ascii="仿宋_GB2312" w:hAnsi="仿宋_GB2312" w:eastAsia="仿宋_GB2312" w:cs="仿宋_GB2312"/>
          <w:b w:val="0"/>
          <w:bCs w:val="0"/>
          <w:color w:val="auto"/>
          <w:sz w:val="28"/>
          <w:szCs w:val="28"/>
          <w:lang w:val="en-US" w:eastAsia="zh-CN"/>
        </w:rPr>
      </w:pPr>
    </w:p>
    <w:p w14:paraId="6F2294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 xml:space="preserve">                                 申报单位（盖章）</w:t>
      </w:r>
    </w:p>
    <w:p w14:paraId="0EE10F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jc w:val="both"/>
        <w:textAlignment w:val="auto"/>
        <w:rPr>
          <w:rFonts w:hint="eastAsia" w:ascii="仿宋_GB2312" w:hAnsi="仿宋_GB2312" w:eastAsia="仿宋_GB2312" w:cs="仿宋_GB2312"/>
          <w:b w:val="0"/>
          <w:bCs w:val="0"/>
          <w:color w:val="auto"/>
          <w:sz w:val="28"/>
          <w:szCs w:val="28"/>
          <w:lang w:val="en-US" w:eastAsia="zh-CN"/>
        </w:rPr>
      </w:pPr>
    </w:p>
    <w:p w14:paraId="4246DF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jc w:val="both"/>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 xml:space="preserve">                                年    月     日</w:t>
      </w:r>
    </w:p>
    <w:p w14:paraId="310A69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jc w:val="both"/>
        <w:textAlignment w:val="auto"/>
        <w:rPr>
          <w:rFonts w:hint="eastAsia" w:ascii="仿宋_GB2312" w:hAnsi="仿宋_GB2312" w:eastAsia="仿宋_GB2312" w:cs="仿宋_GB2312"/>
          <w:b w:val="0"/>
          <w:bCs w:val="0"/>
          <w:color w:val="auto"/>
          <w:sz w:val="30"/>
          <w:szCs w:val="30"/>
          <w:lang w:val="en-US" w:eastAsia="zh-CN"/>
        </w:rPr>
      </w:pPr>
    </w:p>
    <w:p w14:paraId="63237DF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b w:val="0"/>
          <w:bCs w:val="0"/>
          <w:color w:val="auto"/>
          <w:sz w:val="24"/>
          <w:szCs w:val="24"/>
          <w:lang w:val="en-US" w:eastAsia="zh-CN"/>
        </w:rPr>
      </w:pPr>
      <w:r>
        <w:rPr>
          <w:rFonts w:hint="eastAsia" w:ascii="仿宋_GB2312" w:hAnsi="仿宋_GB2312" w:eastAsia="仿宋_GB2312" w:cs="仿宋_GB2312"/>
          <w:b w:val="0"/>
          <w:bCs w:val="0"/>
          <w:color w:val="auto"/>
          <w:sz w:val="24"/>
          <w:szCs w:val="24"/>
          <w:lang w:val="en-US" w:eastAsia="zh-CN"/>
        </w:rPr>
        <w:t>注意：《</w:t>
      </w:r>
      <w:r>
        <w:rPr>
          <w:rFonts w:hint="eastAsia" w:ascii="仿宋_GB2312" w:hAnsi="仿宋_GB2312" w:eastAsia="仿宋_GB2312" w:cs="仿宋_GB2312"/>
          <w:i w:val="0"/>
          <w:iCs w:val="0"/>
          <w:caps w:val="0"/>
          <w:color w:val="auto"/>
          <w:spacing w:val="0"/>
          <w:sz w:val="24"/>
          <w:szCs w:val="24"/>
          <w:shd w:val="clear" w:fill="FFFFFF"/>
          <w:lang w:val="en-US" w:eastAsia="zh-CN"/>
        </w:rPr>
        <w:t>阳江市房屋市政工程</w:t>
      </w:r>
      <w:r>
        <w:rPr>
          <w:rFonts w:hint="eastAsia" w:ascii="仿宋_GB2312" w:hAnsi="仿宋_GB2312" w:eastAsia="仿宋_GB2312" w:cs="仿宋_GB2312"/>
          <w:i w:val="0"/>
          <w:iCs w:val="0"/>
          <w:caps w:val="0"/>
          <w:color w:val="auto"/>
          <w:spacing w:val="0"/>
          <w:sz w:val="24"/>
          <w:szCs w:val="24"/>
          <w:shd w:val="clear" w:fill="FFFFFF"/>
        </w:rPr>
        <w:t>安全生产标准化工地</w:t>
      </w:r>
      <w:r>
        <w:rPr>
          <w:rFonts w:hint="eastAsia" w:ascii="仿宋_GB2312" w:hAnsi="仿宋_GB2312" w:eastAsia="仿宋_GB2312" w:cs="仿宋_GB2312"/>
          <w:i w:val="0"/>
          <w:iCs w:val="0"/>
          <w:caps w:val="0"/>
          <w:color w:val="auto"/>
          <w:spacing w:val="0"/>
          <w:sz w:val="24"/>
          <w:szCs w:val="24"/>
          <w:shd w:val="clear" w:fill="FFFFFF"/>
          <w:lang w:eastAsia="zh-CN"/>
        </w:rPr>
        <w:t>评价</w:t>
      </w:r>
      <w:r>
        <w:rPr>
          <w:rFonts w:hint="eastAsia" w:ascii="仿宋_GB2312" w:hAnsi="仿宋_GB2312" w:eastAsia="仿宋_GB2312" w:cs="仿宋_GB2312"/>
          <w:i w:val="0"/>
          <w:iCs w:val="0"/>
          <w:caps w:val="0"/>
          <w:color w:val="auto"/>
          <w:spacing w:val="0"/>
          <w:sz w:val="24"/>
          <w:szCs w:val="24"/>
          <w:shd w:val="clear" w:fill="FFFFFF"/>
          <w:lang w:val="en-US" w:eastAsia="zh-CN"/>
        </w:rPr>
        <w:t>申报单位</w:t>
      </w:r>
      <w:r>
        <w:rPr>
          <w:rFonts w:hint="eastAsia" w:ascii="仿宋_GB2312" w:hAnsi="仿宋_GB2312" w:eastAsia="仿宋_GB2312" w:cs="仿宋_GB2312"/>
          <w:b w:val="0"/>
          <w:bCs w:val="0"/>
          <w:color w:val="auto"/>
          <w:sz w:val="24"/>
          <w:szCs w:val="24"/>
          <w:lang w:val="en-US" w:eastAsia="zh-CN"/>
        </w:rPr>
        <w:t>承诺书》务必正反面打印，切勿打印成两页。</w:t>
      </w:r>
    </w:p>
    <w:p w14:paraId="0EDE9833">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both"/>
        <w:textAlignment w:val="auto"/>
        <w:rPr>
          <w:rFonts w:hint="eastAsia" w:ascii="仿宋_GB2312" w:hAnsi="仿宋_GB2312" w:eastAsia="仿宋_GB2312" w:cs="仿宋_GB2312"/>
          <w:b w:val="0"/>
          <w:bCs w:val="0"/>
          <w:color w:val="auto"/>
          <w:sz w:val="28"/>
          <w:szCs w:val="28"/>
          <w:lang w:val="en-US" w:eastAsia="zh-CN"/>
        </w:rPr>
      </w:pPr>
    </w:p>
    <w:p w14:paraId="78050A03">
      <w:bookmarkStart w:id="0" w:name="_GoBack"/>
      <w:bookmarkEnd w:id="0"/>
    </w:p>
    <w:sectPr>
      <w:pgSz w:w="11906" w:h="16838"/>
      <w:pgMar w:top="1440" w:right="128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60B3F3"/>
    <w:multiLevelType w:val="singleLevel"/>
    <w:tmpl w:val="4F60B3F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337EE1"/>
    <w:rsid w:val="7B337E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2025-10-31T03:19:00Z</dcterms:created>
  <dc:creator>CINDY HUANG</dc:creator>
  <cp:lastModifiedBy>CINDY HUANG</cp:lastModifiedBy>
  <dcterms:modified xsi:type="dcterms:W3CDTF">2025-10-31T03:20:14Z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957EAC5EBE164B3EB03FAAFA2888EE56_11</vt:lpwstr>
  </property>
  <property fmtid="{D5CDD505-2E9C-101B-9397-08002B2CF9AE}" pid="4" name="KSOTemplateDocerSaveRecord">
    <vt:lpwstr>eyJoZGlkIjoiMjQ4MzQ3ZWIyNGU4Mzg1Mzc4NTFjZmM5MjlhNTVmNTUiLCJ1c2VySWQiOiI1NjkyMTczOTkifQ==</vt:lpwstr>
  </property>
</Properties>
</file>